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dpis1"/>
        <w:numPr>
          <w:ilvl w:val="0"/>
          <w:numId w:val="1"/>
        </w:numPr>
        <w:bidi w:val="0"/>
        <w:spacing w:before="240" w:after="120"/>
        <w:jc w:val="start"/>
        <w:rPr>
          <w:color w:val="E37222"/>
        </w:rPr>
      </w:pPr>
      <w:r>
        <w:rPr>
          <w:color w:val="E37222"/>
        </w:rPr>
        <w:t xml:space="preserve">Spočítejte </w:t>
      </w:r>
      <w:r>
        <w:rPr>
          <w:color w:val="E37222"/>
        </w:rPr>
        <w:t>výsledek hospodaření před zdaněním</w:t>
      </w:r>
    </w:p>
    <w:p>
      <w:pPr>
        <w:pStyle w:val="Nadpis2"/>
        <w:numPr>
          <w:ilvl w:val="1"/>
          <w:numId w:val="1"/>
        </w:numPr>
        <w:bidi w:val="0"/>
        <w:jc w:val="start"/>
        <w:rPr/>
      </w:pPr>
      <w:r>
        <w:rPr/>
        <w:t>Zadání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Tržby za prodej služeb:</w:t>
      </w:r>
      <w:r>
        <w:rPr/>
        <w:t xml:space="preserve"> +700 000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Tržby za prodej výrobků:</w:t>
      </w:r>
      <w:r>
        <w:rPr/>
        <w:t xml:space="preserve"> +500 000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Výnos z pronájmu skladu:</w:t>
      </w:r>
      <w:r>
        <w:rPr/>
        <w:t xml:space="preserve"> +60 000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Přijaté dotace na provoz:</w:t>
      </w:r>
      <w:r>
        <w:rPr/>
        <w:t xml:space="preserve"> +40 000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Přijaté úroky z investic:</w:t>
      </w:r>
      <w:r>
        <w:rPr/>
        <w:t xml:space="preserve"> +15 000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Spotřeba materiálu:</w:t>
      </w:r>
      <w:r>
        <w:rPr/>
        <w:t xml:space="preserve"> -250 000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Náklady na energie:</w:t>
      </w:r>
      <w:r>
        <w:rPr/>
        <w:t xml:space="preserve"> -100 000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Mzdové náklady:</w:t>
      </w:r>
      <w:r>
        <w:rPr/>
        <w:t xml:space="preserve"> -350 000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Sociální a zdravotní pojištění:</w:t>
      </w:r>
      <w:r>
        <w:rPr/>
        <w:t xml:space="preserve"> -140 000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Odpisy dlouhodobého majetku:</w:t>
      </w:r>
      <w:r>
        <w:rPr/>
        <w:t xml:space="preserve"> -80 000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Náklady na dopravu:</w:t>
      </w:r>
      <w:r>
        <w:rPr/>
        <w:t xml:space="preserve"> -40 000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Reklamní náklady:</w:t>
      </w:r>
      <w:r>
        <w:rPr/>
        <w:t xml:space="preserve"> -30 000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Ostatní provozní náklady:</w:t>
      </w:r>
      <w:r>
        <w:rPr/>
        <w:t xml:space="preserve"> -20 000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Daň z příjmů:</w:t>
      </w:r>
      <w:r>
        <w:rPr/>
        <w:t xml:space="preserve"> -80 000 Kč</w:t>
      </w:r>
    </w:p>
    <w:p>
      <w:pPr>
        <w:pStyle w:val="Tlotextu"/>
        <w:numPr>
          <w:ilvl w:val="0"/>
          <w:numId w:val="3"/>
        </w:numPr>
        <w:rPr/>
      </w:pPr>
      <w:r>
        <w:rPr>
          <w:rStyle w:val="Silnzdraznn"/>
        </w:rPr>
        <w:t>Náklady na pojištění majetku:</w:t>
      </w:r>
      <w:r>
        <w:rPr/>
        <w:t xml:space="preserve"> -20 000 Kč</w:t>
      </w:r>
    </w:p>
    <w:p>
      <w:pPr>
        <w:pStyle w:val="Nadpis2"/>
        <w:numPr>
          <w:ilvl w:val="1"/>
          <w:numId w:val="1"/>
        </w:numPr>
        <w:bidi w:val="0"/>
        <w:jc w:val="start"/>
        <w:rPr/>
      </w:pPr>
      <w:r>
        <w:rPr/>
        <w:t>Výpočet:</w:t>
      </w:r>
    </w:p>
    <w:p>
      <w:pPr>
        <w:pStyle w:val="Tlotextu"/>
        <w:numPr>
          <w:ilvl w:val="0"/>
          <w:numId w:val="2"/>
        </w:numPr>
        <w:spacing w:before="0" w:after="0"/>
        <w:rPr>
          <w:rStyle w:val="Strong"/>
        </w:rPr>
      </w:pPr>
      <w:r>
        <w:rPr>
          <w:rStyle w:val="Silnzdraznn"/>
        </w:rPr>
        <w:t>Výnosy celkem</w:t>
      </w:r>
      <w:r>
        <w:rPr/>
        <w:t>:</w:t>
        <w:br/>
        <w:t xml:space="preserve">700 000 + 500 000 + 60 000 + 40 000 + 15 000 = </w:t>
      </w:r>
      <w:r>
        <w:rPr>
          <w:rStyle w:val="Silnzdraznn"/>
        </w:rPr>
        <w:t>1 315 000 Kč</w:t>
      </w:r>
    </w:p>
    <w:p>
      <w:pPr>
        <w:pStyle w:val="Tlotextu"/>
        <w:numPr>
          <w:ilvl w:val="0"/>
          <w:numId w:val="2"/>
        </w:numPr>
        <w:spacing w:before="0" w:after="0"/>
        <w:rPr/>
      </w:pPr>
      <w:r>
        <w:rPr>
          <w:rStyle w:val="Silnzdraznn"/>
        </w:rPr>
        <w:t>Náklady celkem</w:t>
      </w:r>
      <w:r>
        <w:rPr/>
        <w:t>:</w:t>
        <w:br/>
        <w:t xml:space="preserve">250 000 + 100 000 + 350 000 + 140 000 + 80 000 + 40 000 + 30 000 + 20 000 + 20 000 = </w:t>
      </w:r>
      <w:r>
        <w:rPr>
          <w:rStyle w:val="Silnzdraznn"/>
        </w:rPr>
        <w:t>1 030 000 Kč</w:t>
      </w:r>
    </w:p>
    <w:p>
      <w:pPr>
        <w:pStyle w:val="Tlotextu"/>
        <w:numPr>
          <w:ilvl w:val="0"/>
          <w:numId w:val="2"/>
        </w:numPr>
        <w:spacing w:before="0" w:after="0"/>
        <w:rPr>
          <w:rStyle w:val="Strong"/>
        </w:rPr>
      </w:pPr>
      <w:r>
        <w:rPr>
          <w:rStyle w:val="Silnzdraznn"/>
        </w:rPr>
        <w:t>Výsledek hospodaření před zdaněním</w:t>
      </w:r>
      <w:r>
        <w:rPr>
          <w:rStyle w:val="Strong"/>
        </w:rPr>
        <w:t>:</w:t>
        <w:br/>
        <w:t xml:space="preserve">1 315 000 - 1 030 000 = </w:t>
      </w:r>
      <w:r>
        <w:rPr>
          <w:rStyle w:val="Silnzdraznn"/>
        </w:rPr>
        <w:t>285 000 Kč</w:t>
      </w:r>
    </w:p>
    <w:sectPr>
      <w:headerReference w:type="default" r:id="rId2"/>
      <w:type w:val="nextPage"/>
      <w:pgSz w:w="11906" w:h="16838"/>
      <w:pgMar w:left="839" w:right="686" w:gutter="0" w:header="451" w:top="676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erif">
    <w:altName w:val="Times New Roman"/>
    <w:charset w:val="ee" w:characterSet="windows-1250"/>
    <w:family w:val="swiss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color w:val="3CB371"/>
      </w:rPr>
    </w:pPr>
    <w:r>
      <w:rPr>
        <w:color w:val="3CB371"/>
      </w:rPr>
      <mc:AlternateContent>
        <mc:Choice Requires="wps">
          <w:drawing>
            <wp:anchor behindDoc="1" distT="635" distB="0" distL="635" distR="0" simplePos="0" locked="0" layoutInCell="0" allowOverlap="1" relativeHeight="2">
              <wp:simplePos x="0" y="0"/>
              <wp:positionH relativeFrom="column">
                <wp:posOffset>5525135</wp:posOffset>
              </wp:positionH>
              <wp:positionV relativeFrom="paragraph">
                <wp:posOffset>-646430</wp:posOffset>
              </wp:positionV>
              <wp:extent cx="1674495" cy="1508125"/>
              <wp:effectExtent l="635" t="635" r="0" b="0"/>
              <wp:wrapNone/>
              <wp:docPr id="1" name="Tvar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74360" cy="1508040"/>
                      </a:xfrm>
                      <a:prstGeom prst="ellipse">
                        <a:avLst/>
                      </a:prstGeom>
                      <a:solidFill>
                        <a:srgbClr val="66cdaa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oval id="shape_0" ID="Tvar 2" path="l-2147483648,-2147483643l-2147483628,-2147483627l-2147483648,-2147483643l-2147483626,-2147483625xe" fillcolor="#66cdaa" stroked="f" o:allowincell="f" style="position:absolute;margin-left:435.05pt;margin-top:-50.9pt;width:131.8pt;height:118.7pt;mso-wrap-style:none;v-text-anchor:middle">
              <v:fill o:detectmouseclick="t" type="solid" color2="#993255"/>
              <v:stroke color="#3465a4" joinstyle="round" endcap="flat"/>
              <w10:wrap type="none"/>
            </v:oval>
          </w:pict>
        </mc:Fallback>
      </mc:AlternateContent>
      <mc:AlternateContent>
        <mc:Choice Requires="wps">
          <w:drawing>
            <wp:anchor behindDoc="1" distT="635" distB="0" distL="0" distR="635" simplePos="0" locked="0" layoutInCell="0" allowOverlap="1" relativeHeight="3">
              <wp:simplePos x="0" y="0"/>
              <wp:positionH relativeFrom="column">
                <wp:posOffset>3677920</wp:posOffset>
              </wp:positionH>
              <wp:positionV relativeFrom="paragraph">
                <wp:posOffset>-296545</wp:posOffset>
              </wp:positionV>
              <wp:extent cx="3386455" cy="361315"/>
              <wp:effectExtent l="1270" t="1270" r="0" b="0"/>
              <wp:wrapNone/>
              <wp:docPr id="2" name="Tvar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86520" cy="361440"/>
                      </a:xfrm>
                      <a:prstGeom prst="roundRect">
                        <a:avLst>
                          <a:gd name="adj" fmla="val 22911"/>
                        </a:avLst>
                      </a:prstGeom>
                      <a:solidFill>
                        <a:srgbClr val="66cdaa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Obsahrmce"/>
                            <w:jc w:val="start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i w:val="false"/>
                              <w:color w:val="auto"/>
                              <w:sz w:val="24"/>
                            </w:rPr>
                            <w:t xml:space="preserve">  </w:t>
                          </w:r>
                          <w:r>
                            <w:rPr>
                              <w:rFonts w:ascii="Arial" w:hAnsi="Arial"/>
                              <w:b/>
                              <w:i w:val="false"/>
                              <w:color w:val="auto"/>
                              <w:sz w:val="24"/>
                            </w:rPr>
                            <w:t>Výkazy pro účetní i neúčetní</w:t>
                          </w:r>
                        </w:p>
                        <w:p>
                          <w:pPr>
                            <w:pStyle w:val="Normal"/>
                            <w:jc w:val="start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/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5739130</wp:posOffset>
          </wp:positionH>
          <wp:positionV relativeFrom="paragraph">
            <wp:posOffset>-286385</wp:posOffset>
          </wp:positionV>
          <wp:extent cx="1101090" cy="1002030"/>
          <wp:effectExtent l="0" t="0" r="0" b="0"/>
          <wp:wrapSquare wrapText="right"/>
          <wp:docPr id="4" name="Obrázek1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1" descr="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10020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7"/>
        </w:tabs>
        <w:ind w:star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4"/>
        </w:tabs>
        <w:ind w:star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1"/>
        </w:tabs>
        <w:ind w:star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28"/>
        </w:tabs>
        <w:ind w:star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35"/>
        </w:tabs>
        <w:ind w:star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42"/>
        </w:tabs>
        <w:ind w:star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49"/>
        </w:tabs>
        <w:ind w:star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56"/>
        </w:tabs>
        <w:ind w:star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63"/>
        </w:tabs>
        <w:ind w:star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star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cs-CZ" w:eastAsia="zh-CN" w:bidi="hi-IN"/>
    </w:rPr>
  </w:style>
  <w:style w:type="paragraph" w:styleId="Nadpis1">
    <w:name w:val="Heading 1"/>
    <w:basedOn w:val="Nadpis"/>
    <w:next w:val="Tlotextu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Nadpis2">
    <w:name w:val="Heading 2"/>
    <w:basedOn w:val="Nadpis"/>
    <w:next w:val="Tlotextu"/>
    <w:qFormat/>
    <w:pPr>
      <w:numPr>
        <w:ilvl w:val="1"/>
        <w:numId w:val="1"/>
      </w:numPr>
      <w:spacing w:before="200" w:after="120"/>
      <w:outlineLvl w:val="1"/>
    </w:pPr>
    <w:rPr>
      <w:b/>
      <w:bCs/>
      <w:i/>
      <w:iCs/>
      <w:color w:val="3CB371"/>
      <w:sz w:val="32"/>
      <w:szCs w:val="32"/>
    </w:rPr>
  </w:style>
  <w:style w:type="paragraph" w:styleId="Nadpis4">
    <w:name w:val="Heading 4"/>
    <w:basedOn w:val="Nadpis"/>
    <w:next w:val="Tlotextu"/>
    <w:qFormat/>
    <w:pPr>
      <w:numPr>
        <w:ilvl w:val="0"/>
        <w:numId w:val="0"/>
      </w:numPr>
      <w:spacing w:before="120" w:after="120"/>
      <w:outlineLvl w:val="3"/>
    </w:pPr>
    <w:rPr>
      <w:rFonts w:ascii="Liberation Serif" w:hAnsi="Liberation Serif" w:eastAsia="Noto Serif CJK SC" w:cs="Lohit Devanagari"/>
      <w:b/>
      <w:bCs/>
      <w:sz w:val="24"/>
      <w:szCs w:val="24"/>
    </w:rPr>
  </w:style>
  <w:style w:type="character" w:styleId="Odrky">
    <w:name w:val="Odrážky"/>
    <w:qFormat/>
    <w:rPr>
      <w:rFonts w:ascii="OpenSymbol" w:hAnsi="OpenSymbol" w:eastAsia="OpenSymbol" w:cs="OpenSymbol"/>
    </w:rPr>
  </w:style>
  <w:style w:type="character" w:styleId="Strong">
    <w:name w:val="Strong"/>
    <w:qFormat/>
    <w:rPr>
      <w:b/>
      <w:bCs/>
    </w:rPr>
  </w:style>
  <w:style w:type="character" w:styleId="Silnzdraznn">
    <w:name w:val="Strong"/>
    <w:qFormat/>
    <w:rPr>
      <w:b/>
      <w:bCs/>
    </w:rPr>
  </w:style>
  <w:style w:type="character" w:styleId="Symbolyproslovn">
    <w:name w:val="Symboly pro číslování"/>
    <w:qFormat/>
    <w:rPr/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Lohit Devanagar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Devanagari"/>
    </w:rPr>
  </w:style>
  <w:style w:type="paragraph" w:styleId="Zhlavazpat">
    <w:name w:val="Záhlaví a zápatí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Zhlav">
    <w:name w:val="Header"/>
    <w:basedOn w:val="Zhlavazpat"/>
    <w:pPr>
      <w:suppressLineNumbers/>
    </w:pPr>
    <w:rPr/>
  </w:style>
  <w:style w:type="paragraph" w:styleId="Obsahrmce">
    <w:name w:val="Obsah rámce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27</TotalTime>
  <Application>LibreOffice/7.4.7.2$Windows_X86_64 LibreOffice_project/723314e595e8007d3cf785c16538505a1c878ca5</Application>
  <AppVersion>15.0000</AppVersion>
  <Pages>1</Pages>
  <Words>193</Words>
  <Characters>716</Characters>
  <CharactersWithSpaces>871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2024-12-02T14:41:58Z</dcterms:created>
  <dc:creator/>
  <dc:description/>
  <dc:language>cs-CZ</dc:language>
  <cp:lastModifiedBy/>
  <dcterms:modified xsi:type="dcterms:W3CDTF">2024-12-02T15:34:45Z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